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D77" w:rsidRDefault="009E5D77" w:rsidP="009E5D77">
      <w:pPr>
        <w:spacing w:line="6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D67E51">
        <w:rPr>
          <w:rFonts w:ascii="黑体" w:eastAsia="黑体" w:hAnsi="黑体" w:hint="eastAsia"/>
          <w:sz w:val="32"/>
          <w:szCs w:val="32"/>
        </w:rPr>
        <w:t>1</w:t>
      </w:r>
    </w:p>
    <w:p w:rsidR="009E5D77" w:rsidRDefault="009E5D77" w:rsidP="009E5D77">
      <w:pPr>
        <w:spacing w:line="4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</w:p>
    <w:p w:rsidR="009E5D77" w:rsidRPr="00520C66" w:rsidRDefault="009E5D77" w:rsidP="009E5D77">
      <w:pPr>
        <w:spacing w:line="700" w:lineRule="exact"/>
        <w:jc w:val="center"/>
        <w:rPr>
          <w:rFonts w:ascii="方正小标宋_GBK" w:eastAsia="方正小标宋_GBK" w:hAnsiTheme="majorEastAsia"/>
          <w:sz w:val="44"/>
          <w:szCs w:val="44"/>
        </w:rPr>
      </w:pPr>
      <w:r w:rsidRPr="00520C66">
        <w:rPr>
          <w:rFonts w:ascii="方正小标宋_GBK" w:eastAsia="方正小标宋_GBK" w:hAnsiTheme="majorEastAsia" w:hint="eastAsia"/>
          <w:sz w:val="44"/>
          <w:szCs w:val="44"/>
        </w:rPr>
        <w:t>泰安市第四次经济普查课题参考题目</w:t>
      </w:r>
    </w:p>
    <w:p w:rsidR="009E5D77" w:rsidRPr="00EE2891" w:rsidRDefault="009E5D77" w:rsidP="009E5D77">
      <w:pPr>
        <w:spacing w:line="400" w:lineRule="exact"/>
        <w:rPr>
          <w:rFonts w:ascii="仿宋" w:eastAsia="仿宋" w:hAnsi="仿宋"/>
          <w:sz w:val="32"/>
          <w:szCs w:val="32"/>
        </w:rPr>
      </w:pP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20C66">
        <w:rPr>
          <w:rFonts w:ascii="仿宋_GB2312" w:eastAsia="仿宋_GB2312" w:hAnsi="仿宋" w:hint="eastAsia"/>
          <w:sz w:val="32"/>
          <w:szCs w:val="32"/>
        </w:rPr>
        <w:t>1、推进和深化泰安</w:t>
      </w:r>
      <w:bookmarkStart w:id="0" w:name="_GoBack"/>
      <w:bookmarkEnd w:id="0"/>
      <w:r w:rsidRPr="00520C66">
        <w:rPr>
          <w:rFonts w:ascii="仿宋_GB2312" w:eastAsia="仿宋_GB2312" w:hAnsi="仿宋" w:hint="eastAsia"/>
          <w:sz w:val="32"/>
          <w:szCs w:val="32"/>
        </w:rPr>
        <w:t>供给侧结构性改革研究；</w:t>
      </w:r>
    </w:p>
    <w:p w:rsidR="009E5D77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20C66">
        <w:rPr>
          <w:rFonts w:ascii="仿宋_GB2312" w:eastAsia="仿宋_GB2312" w:hAnsi="仿宋" w:hint="eastAsia"/>
          <w:sz w:val="32"/>
          <w:szCs w:val="32"/>
        </w:rPr>
        <w:t xml:space="preserve">2、推进泰安新旧动能转换发展路径研究； 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3、</w:t>
      </w:r>
      <w:r w:rsidRPr="00B774E5">
        <w:rPr>
          <w:rFonts w:ascii="仿宋_GB2312" w:eastAsia="仿宋_GB2312" w:hAnsi="仿宋" w:hint="eastAsia"/>
          <w:sz w:val="32"/>
          <w:szCs w:val="32"/>
        </w:rPr>
        <w:t>济泰区域一体化发展研究；</w:t>
      </w:r>
    </w:p>
    <w:p w:rsidR="009E5D77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Pr="00520C66">
        <w:rPr>
          <w:rFonts w:ascii="仿宋_GB2312" w:eastAsia="仿宋_GB2312" w:hAnsi="仿宋" w:hint="eastAsia"/>
          <w:sz w:val="32"/>
          <w:szCs w:val="32"/>
        </w:rPr>
        <w:t>、从企业负债情况看防范化解重大风险面临的挑战；</w:t>
      </w:r>
    </w:p>
    <w:p w:rsidR="009E5D77" w:rsidRPr="00B774E5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5、</w:t>
      </w:r>
      <w:r w:rsidRPr="00B774E5">
        <w:rPr>
          <w:rFonts w:ascii="仿宋_GB2312" w:eastAsia="仿宋_GB2312" w:hAnsi="仿宋" w:hint="eastAsia"/>
          <w:sz w:val="32"/>
          <w:szCs w:val="32"/>
        </w:rPr>
        <w:t>泰安民营经济发展状况研究；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6、</w:t>
      </w:r>
      <w:r w:rsidRPr="00B774E5">
        <w:rPr>
          <w:rFonts w:ascii="仿宋_GB2312" w:eastAsia="仿宋_GB2312" w:hAnsi="仿宋" w:hint="eastAsia"/>
          <w:sz w:val="32"/>
          <w:szCs w:val="32"/>
        </w:rPr>
        <w:t>泰安“四新”经济发展状况及带动就业研究；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</w:t>
      </w:r>
      <w:r w:rsidRPr="00520C66">
        <w:rPr>
          <w:rFonts w:ascii="仿宋_GB2312" w:eastAsia="仿宋_GB2312" w:hAnsi="仿宋" w:hint="eastAsia"/>
          <w:sz w:val="32"/>
          <w:szCs w:val="32"/>
        </w:rPr>
        <w:t>、</w:t>
      </w:r>
      <w:r w:rsidRPr="00520C66">
        <w:rPr>
          <w:rFonts w:ascii="仿宋_GB2312" w:eastAsia="仿宋_GB2312" w:hint="eastAsia"/>
          <w:color w:val="000000"/>
          <w:sz w:val="32"/>
          <w:szCs w:val="32"/>
        </w:rPr>
        <w:t>企业生命周期研究；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</w:t>
      </w:r>
      <w:r w:rsidRPr="00520C66">
        <w:rPr>
          <w:rFonts w:ascii="仿宋_GB2312" w:eastAsia="仿宋_GB2312" w:hAnsi="仿宋" w:hint="eastAsia"/>
          <w:sz w:val="32"/>
          <w:szCs w:val="32"/>
        </w:rPr>
        <w:t>、泰安基本单位总体变动及分布状况研究；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</w:t>
      </w:r>
      <w:r w:rsidRPr="00520C66">
        <w:rPr>
          <w:rFonts w:ascii="仿宋_GB2312" w:eastAsia="仿宋_GB2312" w:hAnsi="仿宋" w:hint="eastAsia"/>
          <w:sz w:val="32"/>
          <w:szCs w:val="32"/>
        </w:rPr>
        <w:t>、新形势下基层普查工作组织模式研究；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10</w:t>
      </w:r>
      <w:r w:rsidRPr="00520C66">
        <w:rPr>
          <w:rFonts w:ascii="仿宋_GB2312" w:eastAsia="仿宋_GB2312" w:hAnsi="仿宋" w:hint="eastAsia"/>
          <w:sz w:val="32"/>
          <w:szCs w:val="32"/>
        </w:rPr>
        <w:t>、泰安制造业转型升级及面临的困难研究；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11</w:t>
      </w:r>
      <w:r w:rsidRPr="00520C66">
        <w:rPr>
          <w:rFonts w:ascii="仿宋_GB2312" w:eastAsia="仿宋_GB2312" w:hAnsi="仿宋" w:hint="eastAsia"/>
          <w:sz w:val="32"/>
          <w:szCs w:val="32"/>
        </w:rPr>
        <w:t>、泰安战略性新兴产业发展研究；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12</w:t>
      </w:r>
      <w:r w:rsidRPr="00520C66">
        <w:rPr>
          <w:rFonts w:ascii="仿宋_GB2312" w:eastAsia="仿宋_GB2312" w:hAnsi="仿宋" w:hint="eastAsia"/>
          <w:sz w:val="32"/>
          <w:szCs w:val="32"/>
        </w:rPr>
        <w:t>、泰安高端制造业发展现状研究；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13</w:t>
      </w:r>
      <w:r w:rsidRPr="00520C66">
        <w:rPr>
          <w:rFonts w:ascii="仿宋_GB2312" w:eastAsia="仿宋_GB2312" w:hAnsi="仿宋" w:hint="eastAsia"/>
          <w:sz w:val="32"/>
          <w:szCs w:val="32"/>
        </w:rPr>
        <w:t>、泰安采矿业发展现状、变化趋势和政策研究；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14</w:t>
      </w:r>
      <w:r w:rsidRPr="00520C66">
        <w:rPr>
          <w:rFonts w:ascii="仿宋_GB2312" w:eastAsia="仿宋_GB2312" w:hAnsi="仿宋" w:hint="eastAsia"/>
          <w:sz w:val="32"/>
          <w:szCs w:val="32"/>
        </w:rPr>
        <w:t>、泰安单位从业人员状况研究；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15</w:t>
      </w:r>
      <w:r w:rsidRPr="00520C66">
        <w:rPr>
          <w:rFonts w:ascii="仿宋_GB2312" w:eastAsia="仿宋_GB2312" w:hAnsi="仿宋" w:hint="eastAsia"/>
          <w:sz w:val="32"/>
          <w:szCs w:val="32"/>
        </w:rPr>
        <w:t>、泰安二三产业就业情况分析研究；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16</w:t>
      </w:r>
      <w:r w:rsidRPr="00520C66">
        <w:rPr>
          <w:rFonts w:ascii="仿宋_GB2312" w:eastAsia="仿宋_GB2312" w:hAnsi="仿宋" w:hint="eastAsia"/>
          <w:sz w:val="32"/>
          <w:szCs w:val="32"/>
        </w:rPr>
        <w:t>、泰安企业研发投入现状研究；</w:t>
      </w:r>
    </w:p>
    <w:p w:rsidR="009E5D77" w:rsidRPr="00520C66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17</w:t>
      </w:r>
      <w:r w:rsidRPr="00520C66">
        <w:rPr>
          <w:rFonts w:ascii="仿宋_GB2312" w:eastAsia="仿宋_GB2312" w:hAnsi="仿宋" w:hint="eastAsia"/>
          <w:sz w:val="32"/>
          <w:szCs w:val="32"/>
        </w:rPr>
        <w:t>、泰安文化产业竞争力研究；</w:t>
      </w:r>
    </w:p>
    <w:p w:rsidR="009E5D77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18</w:t>
      </w:r>
      <w:r w:rsidRPr="00520C66">
        <w:rPr>
          <w:rFonts w:ascii="仿宋_GB2312" w:eastAsia="仿宋_GB2312" w:hAnsi="仿宋" w:hint="eastAsia"/>
          <w:sz w:val="32"/>
          <w:szCs w:val="32"/>
        </w:rPr>
        <w:t>、互联网经济对泰安餐饮业发展的影响研究；</w:t>
      </w:r>
    </w:p>
    <w:p w:rsidR="009E5D77" w:rsidRPr="00B774E5" w:rsidRDefault="009E5D77" w:rsidP="009E5D77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19、</w:t>
      </w:r>
      <w:r w:rsidRPr="00B774E5">
        <w:rPr>
          <w:rFonts w:ascii="仿宋_GB2312" w:eastAsia="仿宋_GB2312" w:hAnsi="仿宋" w:hint="eastAsia"/>
          <w:sz w:val="32"/>
          <w:szCs w:val="32"/>
        </w:rPr>
        <w:t>泰安新零售发展特点以及对零售业发展的影响；</w:t>
      </w:r>
    </w:p>
    <w:p w:rsidR="009E5D77" w:rsidRPr="00B774E5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20、</w:t>
      </w:r>
      <w:r w:rsidRPr="00B774E5">
        <w:rPr>
          <w:rFonts w:ascii="仿宋_GB2312" w:eastAsia="仿宋_GB2312" w:hAnsi="仿宋" w:hint="eastAsia"/>
          <w:sz w:val="32"/>
          <w:szCs w:val="32"/>
        </w:rPr>
        <w:t>泰安区域创新创业活跃度比较研究；</w:t>
      </w:r>
    </w:p>
    <w:p w:rsidR="009E5D77" w:rsidRPr="00B774E5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21、</w:t>
      </w:r>
      <w:r w:rsidRPr="00B774E5">
        <w:rPr>
          <w:rFonts w:ascii="仿宋_GB2312" w:eastAsia="仿宋_GB2312" w:hAnsi="仿宋" w:hint="eastAsia"/>
          <w:sz w:val="32"/>
          <w:szCs w:val="32"/>
        </w:rPr>
        <w:t>交通运输业对经济增长作用研究；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22、</w:t>
      </w:r>
      <w:r w:rsidRPr="00B774E5">
        <w:rPr>
          <w:rFonts w:ascii="仿宋_GB2312" w:eastAsia="仿宋_GB2312" w:hAnsi="仿宋" w:hint="eastAsia"/>
          <w:sz w:val="32"/>
          <w:szCs w:val="32"/>
        </w:rPr>
        <w:t>泰安事业单位布局与改革研究；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23</w:t>
      </w:r>
      <w:r w:rsidRPr="00520C66">
        <w:rPr>
          <w:rFonts w:ascii="仿宋_GB2312" w:eastAsia="仿宋_GB2312" w:hAnsi="仿宋" w:hint="eastAsia"/>
          <w:sz w:val="32"/>
          <w:szCs w:val="32"/>
        </w:rPr>
        <w:t>、泰安小微商贸企业发展状况研究；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24</w:t>
      </w:r>
      <w:r w:rsidRPr="00520C66">
        <w:rPr>
          <w:rFonts w:ascii="仿宋_GB2312" w:eastAsia="仿宋_GB2312" w:hAnsi="仿宋" w:hint="eastAsia"/>
          <w:sz w:val="32"/>
          <w:szCs w:val="32"/>
        </w:rPr>
        <w:t>、泰安旅游产业竞争力和对经济增长作用研究；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25</w:t>
      </w:r>
      <w:r w:rsidRPr="00520C66">
        <w:rPr>
          <w:rFonts w:ascii="仿宋_GB2312" w:eastAsia="仿宋_GB2312" w:hAnsi="仿宋" w:hint="eastAsia"/>
          <w:sz w:val="32"/>
          <w:szCs w:val="32"/>
        </w:rPr>
        <w:t>、泰安服务业高质量发展的路径研究；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26</w:t>
      </w:r>
      <w:r w:rsidRPr="00520C66">
        <w:rPr>
          <w:rFonts w:ascii="仿宋_GB2312" w:eastAsia="仿宋_GB2312" w:hAnsi="仿宋" w:hint="eastAsia"/>
          <w:sz w:val="32"/>
          <w:szCs w:val="32"/>
        </w:rPr>
        <w:t>、泰安医疗服务和健康服务业现状及发展趋势研究；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27</w:t>
      </w:r>
      <w:r w:rsidRPr="00520C66">
        <w:rPr>
          <w:rFonts w:ascii="仿宋_GB2312" w:eastAsia="仿宋_GB2312" w:hAnsi="仿宋" w:hint="eastAsia"/>
          <w:sz w:val="32"/>
          <w:szCs w:val="32"/>
        </w:rPr>
        <w:t>、泰安基本公共服务单位分布均衡性研究；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28</w:t>
      </w:r>
      <w:r w:rsidRPr="00520C66">
        <w:rPr>
          <w:rFonts w:ascii="仿宋_GB2312" w:eastAsia="仿宋_GB2312" w:hAnsi="仿宋" w:hint="eastAsia"/>
          <w:sz w:val="32"/>
          <w:szCs w:val="32"/>
        </w:rPr>
        <w:t>、泰安房地产业比较研究；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29</w:t>
      </w:r>
      <w:r w:rsidRPr="00520C66">
        <w:rPr>
          <w:rFonts w:ascii="仿宋_GB2312" w:eastAsia="仿宋_GB2312" w:hAnsi="仿宋" w:hint="eastAsia"/>
          <w:sz w:val="32"/>
          <w:szCs w:val="32"/>
        </w:rPr>
        <w:t>、泰安能源消费状况和经济可持续发展相关性研究；</w:t>
      </w:r>
    </w:p>
    <w:p w:rsidR="009E5D77" w:rsidRPr="00520C66" w:rsidRDefault="009E5D77" w:rsidP="009E5D77">
      <w:pPr>
        <w:spacing w:line="58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30</w:t>
      </w:r>
      <w:r w:rsidRPr="00520C66">
        <w:rPr>
          <w:rFonts w:ascii="仿宋_GB2312" w:eastAsia="仿宋_GB2312" w:hAnsi="仿宋" w:hint="eastAsia"/>
          <w:sz w:val="32"/>
          <w:szCs w:val="32"/>
        </w:rPr>
        <w:t>、泰安工业能源消费和利用效率问题研究；</w:t>
      </w:r>
    </w:p>
    <w:p w:rsidR="00413A90" w:rsidRPr="009E5D77" w:rsidRDefault="00413A90"/>
    <w:sectPr w:rsidR="00413A90" w:rsidRPr="009E5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316" w:rsidRDefault="006F6316" w:rsidP="009E5D77">
      <w:r>
        <w:separator/>
      </w:r>
    </w:p>
  </w:endnote>
  <w:endnote w:type="continuationSeparator" w:id="0">
    <w:p w:rsidR="006F6316" w:rsidRDefault="006F6316" w:rsidP="009E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316" w:rsidRDefault="006F6316" w:rsidP="009E5D77">
      <w:r>
        <w:separator/>
      </w:r>
    </w:p>
  </w:footnote>
  <w:footnote w:type="continuationSeparator" w:id="0">
    <w:p w:rsidR="006F6316" w:rsidRDefault="006F6316" w:rsidP="009E5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78"/>
    <w:rsid w:val="000B6778"/>
    <w:rsid w:val="000F7FC1"/>
    <w:rsid w:val="00413A90"/>
    <w:rsid w:val="006F6316"/>
    <w:rsid w:val="009E5D77"/>
    <w:rsid w:val="00D6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D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D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D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D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D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D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535</Characters>
  <Application>Microsoft Office Word</Application>
  <DocSecurity>0</DocSecurity>
  <Lines>4</Lines>
  <Paragraphs>1</Paragraphs>
  <ScaleCrop>false</ScaleCrop>
  <Company>china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2020-03-10T01:17:00Z</dcterms:created>
  <dcterms:modified xsi:type="dcterms:W3CDTF">2020-03-10T01:18:00Z</dcterms:modified>
</cp:coreProperties>
</file>